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370" w:type="dxa"/>
        <w:tblInd w:w="93" w:type="dxa"/>
        <w:shd w:val="clear"/>
        <w:tblLayout w:type="autofit"/>
        <w:tblCellMar>
          <w:top w:w="0" w:type="dxa"/>
          <w:left w:w="108" w:type="dxa"/>
          <w:bottom w:w="0" w:type="dxa"/>
          <w:right w:w="108" w:type="dxa"/>
        </w:tblCellMar>
      </w:tblPr>
      <w:tblGrid>
        <w:gridCol w:w="1180"/>
        <w:gridCol w:w="1180"/>
        <w:gridCol w:w="1320"/>
        <w:gridCol w:w="1303"/>
        <w:gridCol w:w="1303"/>
        <w:gridCol w:w="1303"/>
        <w:gridCol w:w="1320"/>
        <w:gridCol w:w="1320"/>
        <w:gridCol w:w="1303"/>
        <w:gridCol w:w="1303"/>
        <w:gridCol w:w="1536"/>
      </w:tblGrid>
      <w:tr>
        <w:tblPrEx>
          <w:shd w:val="clear"/>
          <w:tblCellMar>
            <w:top w:w="0" w:type="dxa"/>
            <w:left w:w="108" w:type="dxa"/>
            <w:bottom w:w="0" w:type="dxa"/>
            <w:right w:w="108" w:type="dxa"/>
          </w:tblCellMar>
        </w:tblPrEx>
        <w:trPr>
          <w:trHeight w:val="900" w:hRule="atLeast"/>
        </w:trPr>
        <w:tc>
          <w:tcPr>
            <w:tcW w:w="14370" w:type="dxa"/>
            <w:gridSpan w:val="11"/>
            <w:tcBorders>
              <w:top w:val="nil"/>
              <w:left w:val="nil"/>
              <w:bottom w:val="nil"/>
              <w:right w:val="nil"/>
            </w:tcBorders>
            <w:shd w:val="clear"/>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2021年4月份六安市公共资源交易数据统计</w:t>
            </w:r>
          </w:p>
        </w:tc>
      </w:tr>
      <w:tr>
        <w:tblPrEx>
          <w:tblCellMar>
            <w:top w:w="0" w:type="dxa"/>
            <w:left w:w="108" w:type="dxa"/>
            <w:bottom w:w="0" w:type="dxa"/>
            <w:right w:w="108" w:type="dxa"/>
          </w:tblCellMar>
        </w:tblPrEx>
        <w:trPr>
          <w:trHeight w:val="63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1166</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135085.25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90263.91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30268.41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46686.44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167154.71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101423.40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10346.26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13592.64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594821.0252</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3731.74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12411.92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6439.40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1695.05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7126.99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2905.22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1498.78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1241.65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37050.75222</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8.60%</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163.13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30611.85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55016.2</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37.69%</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70958.32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bdr w:val="none" w:color="auto" w:sz="0" w:space="0"/>
                <w:lang w:val="en-US" w:eastAsia="zh-CN" w:bidi="ar"/>
              </w:rPr>
              <w:t xml:space="preserve">78922.62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23124.86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28642.31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63880.72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72744.27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2166.91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9235.47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349675.48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73787.58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bdr w:val="none" w:color="auto" w:sz="0" w:space="0"/>
                <w:lang w:val="en-US" w:eastAsia="zh-CN" w:bidi="ar"/>
              </w:rPr>
              <w:t xml:space="preserve">90613.00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29023.15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29922.48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70222.63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75158.61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10437.37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381829.82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2829.26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bdr w:val="none" w:color="auto" w:sz="0" w:space="0"/>
                <w:lang w:val="en-US" w:eastAsia="zh-CN" w:bidi="ar"/>
              </w:rPr>
              <w:t xml:space="preserve">11690.38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5898.29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1280.17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6341.91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2414.34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498.09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1201.90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32154.34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1"/>
                <w:szCs w:val="21"/>
                <w:u w:val="none"/>
              </w:rPr>
            </w:pPr>
            <w:r>
              <w:rPr>
                <w:rFonts w:hint="eastAsia" w:ascii="微软雅黑" w:hAnsi="微软雅黑" w:eastAsia="微软雅黑" w:cs="微软雅黑"/>
                <w:i w:val="0"/>
                <w:iCs w:val="0"/>
                <w:color w:val="333333"/>
                <w:kern w:val="0"/>
                <w:sz w:val="21"/>
                <w:szCs w:val="21"/>
                <w:u w:val="none"/>
                <w:bdr w:val="none" w:color="auto" w:sz="0" w:space="0"/>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8.42%</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1651.49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4384.85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3516.75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3917.19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3382.43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3184.65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20037.36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1855.19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4643.76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4125.80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4259.59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3416.35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3184.65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21485.34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258.91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609.05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1447.98</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6.74%</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4859.15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4408.52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2397.32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3183.84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1351.37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655.18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4372.58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886.76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22114.72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5758.16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4926.36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2679.52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3593.06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1527.40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803.66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5312.69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926.51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25527.36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899.01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517.84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282.20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409.22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176.03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148.48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940.11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3412.64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13.37%</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252.29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325.96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1064.58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246.67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975.20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89.38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9.17%</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58700.00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4995.00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14665.00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97676.36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23801.04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199837.40 </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4913.00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14565.00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67148.27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23801.04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144977.31</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24150.00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30528.09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54860.09</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37.84%</w:t>
            </w:r>
          </w:p>
        </w:tc>
      </w:tr>
      <w:tr>
        <w:tblPrEx>
          <w:tblCellMar>
            <w:top w:w="0" w:type="dxa"/>
            <w:left w:w="108" w:type="dxa"/>
            <w:bottom w:w="0" w:type="dxa"/>
            <w:right w:w="108" w:type="dxa"/>
          </w:tblCellMar>
        </w:tblPrEx>
        <w:trPr>
          <w:trHeight w:val="34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r>
      <w:tr>
        <w:tblPrEx>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8.88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233.61 </w:t>
            </w:r>
          </w:p>
        </w:tc>
      </w:tr>
      <w:tr>
        <w:tblPrEx>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13.88 </w:t>
            </w:r>
          </w:p>
        </w:tc>
      </w:tr>
      <w:tr>
        <w:tblPrEx>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66.73 </w:t>
            </w:r>
          </w:p>
        </w:tc>
      </w:tr>
      <w:tr>
        <w:tblPrEx>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#DIV/0!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480.76%</w:t>
            </w:r>
          </w:p>
        </w:tc>
      </w:tr>
      <w:tr>
        <w:tblPrEx>
          <w:tblCellMar>
            <w:top w:w="0" w:type="dxa"/>
            <w:left w:w="108" w:type="dxa"/>
            <w:bottom w:w="0" w:type="dxa"/>
            <w:right w:w="108" w:type="dxa"/>
          </w:tblCellMar>
        </w:tblPrEx>
        <w:trPr>
          <w:trHeight w:val="34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徽采商城订单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695</w:t>
            </w:r>
          </w:p>
        </w:tc>
      </w:tr>
      <w:tr>
        <w:tblPrEx>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132.1684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403.55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296.84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424.34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277.16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1857.8784</w:t>
            </w:r>
          </w:p>
        </w:tc>
      </w:tr>
      <w:tr>
        <w:tblPrEx>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403.55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296.84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1893.6674</w:t>
            </w:r>
          </w:p>
        </w:tc>
      </w:tr>
      <w:tr>
        <w:tblPrEx>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35.789</w:t>
            </w:r>
          </w:p>
        </w:tc>
      </w:tr>
      <w:tr>
        <w:tblPrEx>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1.89%</w:t>
            </w:r>
          </w:p>
        </w:tc>
      </w:tr>
      <w:tr>
        <w:tblPrEx>
          <w:tblCellMar>
            <w:top w:w="0" w:type="dxa"/>
            <w:left w:w="108" w:type="dxa"/>
            <w:bottom w:w="0" w:type="dxa"/>
            <w:right w:w="108" w:type="dxa"/>
          </w:tblCellMar>
        </w:tblPrEx>
        <w:trPr>
          <w:trHeight w:val="2070" w:hRule="atLeast"/>
        </w:trPr>
        <w:tc>
          <w:tcPr>
            <w:tcW w:w="1437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备注：</w:t>
            </w:r>
            <w:r>
              <w:rPr>
                <w:rFonts w:hint="eastAsia" w:ascii="宋体" w:hAnsi="宋体" w:eastAsia="宋体" w:cs="宋体"/>
                <w:i w:val="0"/>
                <w:iCs w:val="0"/>
                <w:color w:val="000000"/>
                <w:kern w:val="0"/>
                <w:sz w:val="28"/>
                <w:szCs w:val="28"/>
                <w:u w:val="none"/>
                <w:bdr w:val="none" w:color="auto" w:sz="0" w:space="0"/>
                <w:lang w:val="en-US" w:eastAsia="zh-CN" w:bidi="ar"/>
              </w:rPr>
              <w:t>以上交易数据根据《安徽省公共资源交易统计调查方案（2018—2020年）》进行统计。</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b/>
                <w:bCs/>
                <w:i w:val="0"/>
                <w:iCs w:val="0"/>
                <w:color w:val="000000"/>
                <w:kern w:val="0"/>
                <w:sz w:val="28"/>
                <w:szCs w:val="28"/>
                <w:u w:val="none"/>
                <w:bdr w:val="none" w:color="auto" w:sz="0" w:space="0"/>
                <w:lang w:val="en-US" w:eastAsia="zh-CN" w:bidi="ar"/>
              </w:rPr>
              <w:t>统计口径：</w:t>
            </w:r>
            <w:r>
              <w:rPr>
                <w:rFonts w:hint="eastAsia" w:ascii="宋体" w:hAnsi="宋体" w:eastAsia="宋体" w:cs="宋体"/>
                <w:i w:val="0"/>
                <w:iCs w:val="0"/>
                <w:color w:val="000000"/>
                <w:kern w:val="0"/>
                <w:sz w:val="28"/>
                <w:szCs w:val="28"/>
                <w:u w:val="none"/>
                <w:bdr w:val="none" w:color="auto" w:sz="0" w:space="0"/>
                <w:lang w:val="en-US" w:eastAsia="zh-CN" w:bidi="ar"/>
              </w:rPr>
              <w:t>1、工程建设和政府采购项目以当月发放的中标通知书的时间为准，国有产权、土地、矿业权、其他产权项目以当月中标公示时间为准；2、工程建设由公开、邀请项目和小型项目组成；3、政府采购由政府采购和徽采商城完成订单组成。</w:t>
            </w:r>
          </w:p>
        </w:tc>
      </w:tr>
    </w:tbl>
    <w:p>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sectPr>
          <w:pgSz w:w="16838" w:h="11906" w:orient="landscape"/>
          <w:pgMar w:top="1800" w:right="1440" w:bottom="1800" w:left="1440" w:header="851" w:footer="992" w:gutter="0"/>
          <w:cols w:space="425" w:num="1"/>
          <w:docGrid w:type="lines" w:linePitch="312" w:charSpace="0"/>
        </w:sectPr>
      </w:pPr>
      <w:bookmarkStart w:id="0" w:name="_Toc310330757"/>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十三、政府和社会资本合作（PPP）：是指政府选择社会资本合作方的交易项目。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4D61F9"/>
    <w:rsid w:val="09A80B5E"/>
    <w:rsid w:val="0FB457DA"/>
    <w:rsid w:val="14CF539D"/>
    <w:rsid w:val="177B56B1"/>
    <w:rsid w:val="19A919B3"/>
    <w:rsid w:val="1CBD6AD0"/>
    <w:rsid w:val="1D5954FE"/>
    <w:rsid w:val="27F925FD"/>
    <w:rsid w:val="296E2F4C"/>
    <w:rsid w:val="404A47CB"/>
    <w:rsid w:val="454C73B0"/>
    <w:rsid w:val="458D353F"/>
    <w:rsid w:val="47C30C87"/>
    <w:rsid w:val="4E4F44FD"/>
    <w:rsid w:val="51121C40"/>
    <w:rsid w:val="520F257D"/>
    <w:rsid w:val="5A6811B5"/>
    <w:rsid w:val="5D3059D6"/>
    <w:rsid w:val="5DCC506A"/>
    <w:rsid w:val="5FEB10CF"/>
    <w:rsid w:val="6CFB2172"/>
    <w:rsid w:val="6F984BD8"/>
    <w:rsid w:val="7661521B"/>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qFormat/>
    <w:uiPriority w:val="0"/>
  </w:style>
  <w:style w:type="paragraph" w:customStyle="1" w:styleId="7">
    <w:name w:val="样式3"/>
    <w:basedOn w:val="1"/>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qFormat/>
    <w:uiPriority w:val="0"/>
    <w:rPr>
      <w:rFonts w:hint="eastAsia" w:ascii="宋体" w:hAnsi="宋体" w:eastAsia="宋体" w:cs="宋体"/>
      <w:color w:val="000000"/>
      <w:sz w:val="28"/>
      <w:szCs w:val="28"/>
      <w:u w:val="none"/>
    </w:rPr>
  </w:style>
  <w:style w:type="character" w:customStyle="1" w:styleId="10">
    <w:name w:val="font41"/>
    <w:basedOn w:val="5"/>
    <w:qFormat/>
    <w:uiPriority w:val="0"/>
    <w:rPr>
      <w:rFonts w:hint="eastAsia" w:ascii="宋体" w:hAnsi="宋体" w:eastAsia="宋体" w:cs="宋体"/>
      <w:b/>
      <w:color w:val="000000"/>
      <w:sz w:val="28"/>
      <w:szCs w:val="28"/>
      <w:u w:val="none"/>
    </w:rPr>
  </w:style>
  <w:style w:type="character" w:customStyle="1" w:styleId="11">
    <w:name w:val="font11"/>
    <w:basedOn w:val="5"/>
    <w:qFormat/>
    <w:uiPriority w:val="0"/>
    <w:rPr>
      <w:rFonts w:hint="eastAsia" w:ascii="宋体" w:hAnsi="宋体" w:eastAsia="宋体" w:cs="宋体"/>
      <w:color w:val="000000"/>
      <w:sz w:val="28"/>
      <w:szCs w:val="28"/>
      <w:u w:val="none"/>
    </w:rPr>
  </w:style>
  <w:style w:type="character" w:customStyle="1" w:styleId="12">
    <w:name w:val="font51"/>
    <w:basedOn w:val="5"/>
    <w:qFormat/>
    <w:uiPriority w:val="0"/>
    <w:rPr>
      <w:rFonts w:hint="eastAsia" w:ascii="宋体" w:hAnsi="宋体" w:eastAsia="宋体" w:cs="宋体"/>
      <w:b/>
      <w:color w:val="000000"/>
      <w:sz w:val="28"/>
      <w:szCs w:val="28"/>
      <w:u w:val="none"/>
    </w:rPr>
  </w:style>
  <w:style w:type="character" w:customStyle="1" w:styleId="13">
    <w:name w:val="font71"/>
    <w:basedOn w:val="5"/>
    <w:qFormat/>
    <w:uiPriority w:val="0"/>
    <w:rPr>
      <w:rFonts w:hint="eastAsia" w:ascii="宋体" w:hAnsi="宋体" w:eastAsia="宋体" w:cs="宋体"/>
      <w:b/>
      <w:color w:val="000000"/>
      <w:sz w:val="28"/>
      <w:szCs w:val="28"/>
      <w:u w:val="none"/>
    </w:rPr>
  </w:style>
  <w:style w:type="character" w:customStyle="1" w:styleId="14">
    <w:name w:val="font31"/>
    <w:basedOn w:val="5"/>
    <w:qFormat/>
    <w:uiPriority w:val="0"/>
    <w:rPr>
      <w:rFonts w:hint="eastAsia" w:ascii="宋体" w:hAnsi="宋体" w:eastAsia="宋体" w:cs="宋体"/>
      <w:b/>
      <w:color w:val="000000"/>
      <w:sz w:val="28"/>
      <w:szCs w:val="28"/>
      <w:u w:val="none"/>
    </w:rPr>
  </w:style>
  <w:style w:type="character" w:customStyle="1" w:styleId="15">
    <w:name w:val="font21"/>
    <w:basedOn w:val="5"/>
    <w:qFormat/>
    <w:uiPriority w:val="0"/>
    <w:rPr>
      <w:rFonts w:hint="eastAsia" w:ascii="宋体" w:hAnsi="宋体" w:eastAsia="宋体" w:cs="宋体"/>
      <w:b/>
      <w:color w:val="000000"/>
      <w:sz w:val="28"/>
      <w:szCs w:val="28"/>
      <w:u w:val="none"/>
    </w:rPr>
  </w:style>
  <w:style w:type="character" w:customStyle="1" w:styleId="16">
    <w:name w:val="font61"/>
    <w:basedOn w:val="5"/>
    <w:qFormat/>
    <w:uiPriority w:val="0"/>
    <w:rPr>
      <w:rFonts w:hint="eastAsia" w:ascii="宋体" w:hAnsi="宋体" w:eastAsia="宋体" w:cs="宋体"/>
      <w:color w:val="000000"/>
      <w:sz w:val="28"/>
      <w:szCs w:val="28"/>
      <w:u w:val="none"/>
    </w:rPr>
  </w:style>
  <w:style w:type="character" w:customStyle="1" w:styleId="17">
    <w:name w:val="font8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2021-05-08T03:40:58Z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E025E61DF1E84278BAB920C0DEA9FAD1</vt:lpwstr>
  </property>
</Properties>
</file>