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93" w:type="dxa"/>
        <w:shd w:val="clear"/>
        <w:tblLayout w:type="autofit"/>
        <w:tblCellMar>
          <w:top w:w="0" w:type="dxa"/>
          <w:left w:w="108" w:type="dxa"/>
          <w:bottom w:w="0" w:type="dxa"/>
          <w:right w:w="108" w:type="dxa"/>
        </w:tblCellMar>
      </w:tblPr>
      <w:tblGrid>
        <w:gridCol w:w="1180"/>
        <w:gridCol w:w="1180"/>
        <w:gridCol w:w="1320"/>
        <w:gridCol w:w="1297"/>
        <w:gridCol w:w="1320"/>
        <w:gridCol w:w="1320"/>
        <w:gridCol w:w="1320"/>
        <w:gridCol w:w="1320"/>
        <w:gridCol w:w="1320"/>
        <w:gridCol w:w="1257"/>
        <w:gridCol w:w="1536"/>
      </w:tblGrid>
      <w:tr>
        <w:tblPrEx>
          <w:shd w:val="clear"/>
          <w:tblCellMar>
            <w:top w:w="0" w:type="dxa"/>
            <w:left w:w="108" w:type="dxa"/>
            <w:bottom w:w="0" w:type="dxa"/>
            <w:right w:w="108" w:type="dxa"/>
          </w:tblCellMar>
        </w:tblPrEx>
        <w:trPr>
          <w:trHeight w:val="900" w:hRule="atLeast"/>
        </w:trPr>
        <w:tc>
          <w:tcPr>
            <w:tcW w:w="1437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bookmarkStart w:id="1" w:name="_GoBack"/>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2021年6月份六安市公共资源交易数据统计</w:t>
            </w:r>
          </w:p>
        </w:tc>
      </w:tr>
      <w:tr>
        <w:tblPrEx>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148463.30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6962.79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20054.85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12455.09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23112.85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51607.66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10920.48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8706.69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282283.7039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4359.66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1192.23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3092.14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1926.80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3786.71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7896.32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2003.26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720.23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24977.3537</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46820.92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47500.2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58.87%</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19684.83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5864.90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11080.89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6649.11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16024.06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38246.96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6181.00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903.91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104635.66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21890.73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6833.59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13654.86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7448.00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18875.16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45311.96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7264.00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1014.35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122292.65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2205.90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968.69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2573.97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798.89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2851.10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7065.00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17656.99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14.18%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14.44%</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588.90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6939.61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522.70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5396.91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4538.12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1381.99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3330.94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22699.17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669.52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7359.74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6261.29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5169.24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1440.44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3388.94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24865.17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420.13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864.38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2166</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8.71%</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167</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8630.29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460.82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1979.02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4835.33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574.37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5397.48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632.50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3787.49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26297.30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10781.05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603.74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2077.06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5899.04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645.60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5597.68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1494.31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4339.28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31437.76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2150.76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98.04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1063.71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861.81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551.79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5140.46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16.35%</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387.70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822.80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313.20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745.38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77.42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10.39%</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120030.00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3179.14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123456.14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73212.00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3179.14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76638.14</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46818.00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46818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61.09%</w:t>
            </w:r>
          </w:p>
        </w:tc>
      </w:tr>
      <w:tr>
        <w:tblPrEx>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216.80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2569.50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3004.52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3301.70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604.78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244.13%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18.32%</w:t>
            </w:r>
          </w:p>
        </w:tc>
      </w:tr>
      <w:tr>
        <w:tblPrEx>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527</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187.43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513.01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155.49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1368.1179</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198.33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513.01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155.49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1382.0216</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13.9037</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r>
      <w:tr>
        <w:tblPrEx>
          <w:tblCellMar>
            <w:top w:w="0" w:type="dxa"/>
            <w:left w:w="108" w:type="dxa"/>
            <w:bottom w:w="0" w:type="dxa"/>
            <w:right w:w="108"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bookmarkEnd w:id="1"/>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82F731C"/>
    <w:rsid w:val="296E2F4C"/>
    <w:rsid w:val="2F5964F6"/>
    <w:rsid w:val="404A47CB"/>
    <w:rsid w:val="454C73B0"/>
    <w:rsid w:val="458D353F"/>
    <w:rsid w:val="47C30C87"/>
    <w:rsid w:val="4E4F44FD"/>
    <w:rsid w:val="51121C40"/>
    <w:rsid w:val="520F257D"/>
    <w:rsid w:val="5A6811B5"/>
    <w:rsid w:val="5D3059D6"/>
    <w:rsid w:val="5DCC506A"/>
    <w:rsid w:val="5FEB10CF"/>
    <w:rsid w:val="6CFB2172"/>
    <w:rsid w:val="6DF96A9B"/>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2021-07-02T08:12:36Z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E025E61DF1E84278BAB920C0DEA9FAD1</vt:lpwstr>
  </property>
</Properties>
</file>